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</w:rPr>
        <w:t>8bis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31</w:t>
      </w:r>
      <w:r>
        <w:rPr>
          <w:rFonts w:hint="eastAsia" w:ascii="Arial" w:hAnsi="Arial" w:cs="Arial"/>
          <w:b/>
          <w:bCs/>
          <w:lang w:val="en-US" w:eastAsia="zh-CN"/>
        </w:rPr>
        <w:t>5161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bookmarkStart w:id="1" w:name="_Hlk130672791"/>
      <w:r>
        <w:rPr>
          <w:rFonts w:hint="eastAsia" w:ascii="Arial" w:hAnsi="Arial" w:cs="Arial"/>
          <w:b/>
          <w:bCs/>
        </w:rPr>
        <w:t>Xiamen, China, October 09 - October 13, 2023</w:t>
      </w:r>
    </w:p>
    <w:bookmarkEnd w:id="1"/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</w:rPr>
        <w:t>5</w:t>
      </w:r>
      <w:r>
        <w:rPr>
          <w:sz w:val="22"/>
        </w:rPr>
        <w:t>.1</w:t>
      </w:r>
      <w:r>
        <w:rPr>
          <w:rFonts w:hint="eastAsia"/>
          <w:sz w:val="22"/>
        </w:rPr>
        <w:t>3</w:t>
      </w:r>
      <w:r>
        <w:rPr>
          <w:sz w:val="22"/>
        </w:rPr>
        <w:t>.</w:t>
      </w:r>
      <w:r>
        <w:rPr>
          <w:rFonts w:hint="eastAsia"/>
          <w:sz w:val="22"/>
        </w:rPr>
        <w:t>5</w:t>
      </w:r>
      <w:r>
        <w:rPr>
          <w:sz w:val="22"/>
        </w:rPr>
        <w:t>.2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7"/>
      <w:bookmarkStart w:id="5" w:name="OLE_LINK8"/>
      <w:r>
        <w:rPr>
          <w:sz w:val="22"/>
        </w:rPr>
        <w:t xml:space="preserve"> Discussion on RRM mobility requirements</w:t>
      </w:r>
      <w:r>
        <w:rPr>
          <w:rFonts w:hint="eastAsia"/>
          <w:sz w:val="22"/>
        </w:rPr>
        <w:t xml:space="preserve"> maintenance</w:t>
      </w:r>
      <w:r>
        <w:rPr>
          <w:sz w:val="22"/>
        </w:rPr>
        <w:t xml:space="preserve"> for ATG</w:t>
      </w:r>
      <w:bookmarkEnd w:id="3"/>
    </w:p>
    <w:bookmarkEnd w:id="4"/>
    <w:bookmarkEnd w:id="5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>
        <w:rPr>
          <w:sz w:val="20"/>
          <w:szCs w:val="20"/>
        </w:rPr>
        <w:t>In RAN4#10</w:t>
      </w:r>
      <w:r>
        <w:rPr>
          <w:rFonts w:hint="eastAsia"/>
          <w:sz w:val="20"/>
          <w:szCs w:val="20"/>
        </w:rPr>
        <w:t>8</w:t>
      </w:r>
      <w:r>
        <w:rPr>
          <w:sz w:val="20"/>
          <w:szCs w:val="20"/>
        </w:rPr>
        <w:t xml:space="preserve"> meeting, ATG RRM mobility mechanism and requirements were discussed, the WF has been approved in [1]. In this contribution, we discuss</w:t>
      </w:r>
      <w:r>
        <w:rPr>
          <w:rFonts w:hint="eastAsia"/>
          <w:sz w:val="20"/>
          <w:szCs w:val="20"/>
        </w:rPr>
        <w:t xml:space="preserve"> some new issues which are not covered during the core discussion</w:t>
      </w:r>
      <w:r>
        <w:rPr>
          <w:sz w:val="20"/>
          <w:szCs w:val="20"/>
        </w:rPr>
        <w:t>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6" w:name="_Hlk70326378"/>
      <w:bookmarkStart w:id="7" w:name="OLE_LINK1"/>
      <w:bookmarkStart w:id="8" w:name="OLE_LINK2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Mobility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 xml:space="preserve"> </w:t>
      </w: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in 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GB"/>
        </w:rPr>
        <w:t>R</w:t>
      </w: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RC_CONNECTED</w:t>
      </w:r>
    </w:p>
    <w:p>
      <w:pPr>
        <w:jc w:val="both"/>
        <w:rPr>
          <w:rStyle w:val="23"/>
          <w:rFonts w:hint="eastAsia"/>
          <w:b w:val="0"/>
          <w:bCs w:val="0"/>
          <w:kern w:val="0"/>
          <w:sz w:val="20"/>
          <w:szCs w:val="20"/>
          <w:lang w:val="en-US" w:eastAsia="zh-CN"/>
        </w:rPr>
      </w:pPr>
      <w:r>
        <w:rPr>
          <w:rStyle w:val="23"/>
          <w:rFonts w:hint="eastAsia"/>
          <w:b w:val="0"/>
          <w:bCs w:val="0"/>
          <w:kern w:val="0"/>
          <w:sz w:val="20"/>
          <w:szCs w:val="20"/>
          <w:lang w:val="en-US" w:eastAsia="zh-CN"/>
        </w:rPr>
        <w:t>In last meeting, for UE with antenna array, the following agreement about scaling factor of L3 measurements has been achieved.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>
            <w:pPr>
              <w:jc w:val="both"/>
              <w:rPr>
                <w:b/>
                <w:i/>
                <w:iCs/>
                <w:sz w:val="20"/>
                <w:szCs w:val="20"/>
                <w:u w:val="single"/>
                <w:lang w:eastAsia="ko-KR"/>
              </w:rPr>
            </w:pPr>
            <w:r>
              <w:rPr>
                <w:rFonts w:hint="eastAsia"/>
                <w:b/>
                <w:i/>
                <w:iCs/>
                <w:sz w:val="20"/>
                <w:szCs w:val="20"/>
                <w:u w:val="single"/>
                <w:lang w:eastAsia="ko-KR"/>
              </w:rPr>
              <w:t>Issue 4-1-1: Phase antenna array impact for L3 measurements</w:t>
            </w:r>
          </w:p>
          <w:p>
            <w:pPr>
              <w:spacing w:after="60"/>
              <w:jc w:val="both"/>
              <w:rPr>
                <w:rFonts w:eastAsia="宋体"/>
                <w:i/>
                <w:iCs/>
                <w:sz w:val="20"/>
                <w:szCs w:val="20"/>
                <w:lang w:eastAsia="ko-KR"/>
              </w:rPr>
            </w:pPr>
            <w:r>
              <w:rPr>
                <w:rFonts w:hint="eastAsia" w:eastAsiaTheme="minorEastAsia"/>
                <w:b/>
                <w:bCs/>
                <w:i/>
                <w:iCs/>
                <w:sz w:val="20"/>
                <w:szCs w:val="20"/>
              </w:rPr>
              <w:t xml:space="preserve">Agreement: </w:t>
            </w:r>
          </w:p>
          <w:p>
            <w:pPr>
              <w:pStyle w:val="74"/>
              <w:numPr>
                <w:ilvl w:val="0"/>
                <w:numId w:val="4"/>
              </w:numPr>
              <w:ind w:firstLineChars="0"/>
              <w:jc w:val="both"/>
              <w:rPr>
                <w:rFonts w:eastAsia="宋体" w:cs="Times New Roman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>Recommend RAN2 to introduce network assistance on neighbor ATG cells reference locations similar to NTN assistance framework</w:t>
            </w:r>
          </w:p>
          <w:p>
            <w:pPr>
              <w:pStyle w:val="74"/>
              <w:numPr>
                <w:ilvl w:val="0"/>
                <w:numId w:val="4"/>
              </w:numPr>
              <w:ind w:firstLineChars="0"/>
              <w:jc w:val="both"/>
              <w:rPr>
                <w:rFonts w:eastAsia="宋体" w:cs="Times New Roman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>Do not introduce scaling factor N and the existing measurement requirements can be reused for ATG UEs [with omnidirectional antennas]</w:t>
            </w:r>
          </w:p>
          <w:p>
            <w:pPr>
              <w:pStyle w:val="74"/>
              <w:numPr>
                <w:ilvl w:val="0"/>
                <w:numId w:val="4"/>
              </w:numPr>
              <w:ind w:firstLineChars="0"/>
              <w:jc w:val="both"/>
              <w:rPr>
                <w:rFonts w:eastAsia="宋体" w:cs="Times New Roman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hint="eastAsia" w:eastAsia="宋体" w:cs="Times New Roman"/>
                <w:i/>
                <w:iCs/>
                <w:sz w:val="20"/>
                <w:szCs w:val="20"/>
                <w:lang w:eastAsia="ja-JP"/>
              </w:rPr>
              <w:t xml:space="preserve">Introduce </w:t>
            </w: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>scaling factor N for L3 measurements for ATG UEs with [antenna arrays]</w:t>
            </w:r>
          </w:p>
          <w:p>
            <w:pPr>
              <w:pStyle w:val="74"/>
              <w:numPr>
                <w:ilvl w:val="1"/>
                <w:numId w:val="4"/>
              </w:numPr>
              <w:ind w:firstLineChars="0"/>
              <w:jc w:val="both"/>
              <w:rPr>
                <w:rFonts w:eastAsia="宋体" w:cs="Times New Roman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 xml:space="preserve">N = </w:t>
            </w:r>
            <w:r>
              <w:rPr>
                <w:rFonts w:eastAsia="宋体" w:cs="Times New Roman"/>
                <w:i/>
                <w:iCs/>
                <w:sz w:val="20"/>
                <w:szCs w:val="20"/>
              </w:rPr>
              <w:t xml:space="preserve">3 </w:t>
            </w: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>for the case when network assistance on ATG cells reference locations is provided</w:t>
            </w:r>
          </w:p>
          <w:p>
            <w:pPr>
              <w:pStyle w:val="74"/>
              <w:numPr>
                <w:ilvl w:val="1"/>
                <w:numId w:val="4"/>
              </w:numPr>
              <w:ind w:firstLineChars="0"/>
              <w:jc w:val="both"/>
              <w:rPr>
                <w:rFonts w:eastAsia="宋体" w:cs="Times New Roman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>N = 4 otherwise</w:t>
            </w:r>
          </w:p>
          <w:p>
            <w:pPr>
              <w:pStyle w:val="74"/>
              <w:numPr>
                <w:ilvl w:val="0"/>
                <w:numId w:val="4"/>
              </w:numPr>
              <w:ind w:firstLineChars="0"/>
              <w:jc w:val="both"/>
              <w:rPr>
                <w:rFonts w:eastAsia="宋体" w:cs="Times New Roman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>FFS if any additional UE capability is needed for ATG UEs with [antenna arrays]</w:t>
            </w:r>
          </w:p>
          <w:p>
            <w:pPr>
              <w:pStyle w:val="74"/>
              <w:numPr>
                <w:ilvl w:val="0"/>
                <w:numId w:val="4"/>
              </w:numPr>
              <w:ind w:firstLineChars="0"/>
              <w:jc w:val="both"/>
              <w:rPr>
                <w:rStyle w:val="23"/>
                <w:rFonts w:hint="default"/>
                <w:b w:val="0"/>
                <w:bCs w:val="0"/>
                <w:kern w:val="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i/>
                <w:iCs/>
                <w:sz w:val="20"/>
                <w:szCs w:val="20"/>
              </w:rPr>
              <w:t>Note: the terms for UE types need to be further aligned with RF session</w:t>
            </w:r>
          </w:p>
        </w:tc>
      </w:tr>
    </w:tbl>
    <w:p>
      <w:pPr>
        <w:jc w:val="both"/>
        <w:rPr>
          <w:rStyle w:val="23"/>
          <w:rFonts w:hint="default"/>
          <w:b w:val="0"/>
          <w:bCs w:val="0"/>
          <w:kern w:val="0"/>
          <w:lang w:val="en-US" w:eastAsia="zh-CN"/>
        </w:rPr>
      </w:pPr>
    </w:p>
    <w:p>
      <w:pPr>
        <w:jc w:val="both"/>
        <w:rPr>
          <w:rStyle w:val="23"/>
          <w:rFonts w:hint="default"/>
          <w:b w:val="0"/>
          <w:bCs w:val="0"/>
          <w:kern w:val="0"/>
          <w:sz w:val="20"/>
          <w:szCs w:val="20"/>
          <w:lang w:val="en-US" w:eastAsia="zh-CN"/>
        </w:rPr>
      </w:pPr>
      <w:r>
        <w:rPr>
          <w:rStyle w:val="23"/>
          <w:rFonts w:hint="eastAsia"/>
          <w:b w:val="0"/>
          <w:bCs w:val="0"/>
          <w:kern w:val="0"/>
          <w:sz w:val="20"/>
          <w:szCs w:val="20"/>
          <w:lang w:val="en-US" w:eastAsia="zh-CN"/>
        </w:rPr>
        <w:t>However, regarding the mobility related L3 measurements in RRC_CONNECTED, how to consider the scaling factor has not been discussed, the related requirements is FFS in current spec. We give our views below.</w:t>
      </w:r>
    </w:p>
    <w:p>
      <w:pPr>
        <w:rPr>
          <w:rStyle w:val="23"/>
          <w:rFonts w:ascii="Times New Roman" w:hAnsi="Times New Roman"/>
          <w:b w:val="0"/>
          <w:bCs w:val="0"/>
          <w:kern w:val="0"/>
          <w:lang w:val="en-GB"/>
        </w:rPr>
      </w:pPr>
    </w:p>
    <w:p>
      <w:pPr>
        <w:rPr>
          <w:b/>
          <w:i/>
          <w:iCs/>
          <w:sz w:val="20"/>
          <w:szCs w:val="20"/>
          <w:u w:val="single"/>
        </w:rPr>
      </w:pPr>
      <w:bookmarkStart w:id="9" w:name="_Hlk133265166"/>
      <w:r>
        <w:rPr>
          <w:rFonts w:hint="eastAsia"/>
          <w:b/>
          <w:i/>
          <w:iCs/>
          <w:sz w:val="20"/>
          <w:szCs w:val="20"/>
          <w:u w:val="single"/>
        </w:rPr>
        <w:t>T</w:t>
      </w:r>
      <w:r>
        <w:rPr>
          <w:rFonts w:hint="eastAsia"/>
          <w:b/>
          <w:i/>
          <w:iCs/>
          <w:sz w:val="20"/>
          <w:szCs w:val="20"/>
          <w:u w:val="single"/>
          <w:vertAlign w:val="subscript"/>
        </w:rPr>
        <w:t>search</w:t>
      </w:r>
      <w:r>
        <w:rPr>
          <w:rFonts w:hint="eastAsia"/>
          <w:b/>
          <w:i/>
          <w:iCs/>
          <w:sz w:val="20"/>
          <w:szCs w:val="20"/>
          <w:u w:val="single"/>
        </w:rPr>
        <w:t xml:space="preserve"> </w:t>
      </w:r>
      <w:r>
        <w:rPr>
          <w:rFonts w:hint="eastAsia"/>
          <w:b/>
          <w:i/>
          <w:iCs/>
          <w:sz w:val="20"/>
          <w:szCs w:val="20"/>
          <w:u w:val="single"/>
          <w:lang w:val="en-US" w:eastAsia="zh-CN"/>
        </w:rPr>
        <w:t>i</w:t>
      </w:r>
      <w:r>
        <w:rPr>
          <w:rFonts w:hint="eastAsia"/>
          <w:b/>
          <w:i/>
          <w:iCs/>
          <w:sz w:val="20"/>
          <w:szCs w:val="20"/>
          <w:u w:val="single"/>
        </w:rPr>
        <w:t>n HO requirements for UE with antenna array</w:t>
      </w:r>
    </w:p>
    <w:p>
      <w:pPr>
        <w:spacing w:before="6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For searching the unknown target cell by UE with antenna array, for the case when </w:t>
      </w:r>
      <w:r>
        <w:rPr>
          <w:rFonts w:hint="eastAsia" w:eastAsia="宋体"/>
          <w:sz w:val="20"/>
          <w:szCs w:val="20"/>
        </w:rPr>
        <w:t>network assistance on ATG target cell</w:t>
      </w:r>
      <w:r>
        <w:rPr>
          <w:rFonts w:eastAsia="宋体"/>
          <w:sz w:val="20"/>
          <w:szCs w:val="20"/>
        </w:rPr>
        <w:t>’</w:t>
      </w:r>
      <w:r>
        <w:rPr>
          <w:rFonts w:hint="eastAsia" w:eastAsia="宋体"/>
          <w:sz w:val="20"/>
          <w:szCs w:val="20"/>
        </w:rPr>
        <w:t>s reference BS locations is not provided,</w:t>
      </w:r>
      <w:r>
        <w:rPr>
          <w:rFonts w:hint="eastAsia"/>
          <w:bCs/>
          <w:sz w:val="20"/>
          <w:szCs w:val="20"/>
        </w:rPr>
        <w:t xml:space="preserve"> the T</w:t>
      </w:r>
      <w:r>
        <w:rPr>
          <w:rFonts w:hint="eastAsia"/>
          <w:bCs/>
          <w:sz w:val="20"/>
          <w:szCs w:val="20"/>
          <w:vertAlign w:val="subscript"/>
        </w:rPr>
        <w:t>search</w:t>
      </w:r>
      <w:r>
        <w:rPr>
          <w:rFonts w:hint="eastAsia"/>
          <w:bCs/>
          <w:sz w:val="20"/>
          <w:szCs w:val="20"/>
        </w:rPr>
        <w:t xml:space="preserve"> should be scaled with scaling factor N =3, since UE doesn</w:t>
      </w:r>
      <w:r>
        <w:rPr>
          <w:bCs/>
          <w:sz w:val="20"/>
          <w:szCs w:val="20"/>
        </w:rPr>
        <w:t>’</w:t>
      </w:r>
      <w:r>
        <w:rPr>
          <w:rFonts w:hint="eastAsia"/>
          <w:bCs/>
          <w:sz w:val="20"/>
          <w:szCs w:val="20"/>
        </w:rPr>
        <w:t>t need to monitor the serving cell, N=1 otherwise.</w:t>
      </w:r>
    </w:p>
    <w:p>
      <w:pPr>
        <w:spacing w:before="60"/>
        <w:jc w:val="both"/>
        <w:rPr>
          <w:rFonts w:hint="eastAsia"/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 xml:space="preserve">Proposal 1: For HO requirements, </w:t>
      </w:r>
    </w:p>
    <w:p>
      <w:pPr>
        <w:numPr>
          <w:ilvl w:val="0"/>
          <w:numId w:val="5"/>
        </w:numPr>
        <w:spacing w:before="60"/>
        <w:ind w:left="420" w:hanging="420"/>
        <w:jc w:val="both"/>
      </w:pPr>
      <w:r>
        <w:rPr>
          <w:rFonts w:hint="eastAsia"/>
          <w:b/>
          <w:i/>
          <w:iCs/>
          <w:sz w:val="20"/>
          <w:szCs w:val="20"/>
        </w:rPr>
        <w:t>when network assistance on ATG unknown target cell</w:t>
      </w:r>
      <w:r>
        <w:rPr>
          <w:b/>
          <w:i/>
          <w:iCs/>
          <w:sz w:val="20"/>
          <w:szCs w:val="20"/>
        </w:rPr>
        <w:t>’</w:t>
      </w:r>
      <w:r>
        <w:rPr>
          <w:rFonts w:hint="eastAsia"/>
          <w:b/>
          <w:i/>
          <w:iCs/>
          <w:sz w:val="20"/>
          <w:szCs w:val="20"/>
        </w:rPr>
        <w:t>s reference BS locations is not provided, the T</w:t>
      </w:r>
      <w:r>
        <w:rPr>
          <w:rFonts w:hint="eastAsia"/>
          <w:b/>
          <w:i/>
          <w:iCs/>
          <w:sz w:val="20"/>
          <w:szCs w:val="20"/>
          <w:vertAlign w:val="subscript"/>
        </w:rPr>
        <w:t>search</w:t>
      </w:r>
      <w:r>
        <w:rPr>
          <w:rFonts w:hint="eastAsia"/>
          <w:b/>
          <w:i/>
          <w:iCs/>
          <w:sz w:val="20"/>
          <w:szCs w:val="20"/>
        </w:rPr>
        <w:t xml:space="preserve"> should be scaled with scaling factor N=3.</w:t>
      </w:r>
    </w:p>
    <w:p>
      <w:pPr>
        <w:numPr>
          <w:ilvl w:val="0"/>
          <w:numId w:val="5"/>
        </w:numPr>
        <w:spacing w:before="60"/>
        <w:ind w:left="420" w:hanging="420"/>
        <w:jc w:val="both"/>
        <w:rPr>
          <w:rFonts w:hint="eastAsia" w:eastAsiaTheme="minor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When network assistance on ATG unknown target cell’s reference BS locations is provided, no need to scale the T</w:t>
      </w:r>
      <w:r>
        <w:rPr>
          <w:rFonts w:hint="eastAsia"/>
          <w:b/>
          <w:i/>
          <w:iCs/>
          <w:sz w:val="20"/>
          <w:szCs w:val="20"/>
          <w:vertAlign w:val="subscript"/>
          <w:lang w:val="en-US" w:eastAsia="zh-CN"/>
        </w:rPr>
        <w:t>search</w:t>
      </w:r>
    </w:p>
    <w:p>
      <w:pPr>
        <w:rPr>
          <w:b/>
          <w:i/>
          <w:iCs/>
          <w:sz w:val="20"/>
          <w:szCs w:val="20"/>
          <w:u w:val="single"/>
        </w:rPr>
      </w:pPr>
    </w:p>
    <w:p>
      <w:pPr>
        <w:rPr>
          <w:b/>
          <w:i/>
          <w:iCs/>
          <w:sz w:val="20"/>
          <w:szCs w:val="20"/>
          <w:u w:val="single"/>
        </w:rPr>
      </w:pPr>
      <w:r>
        <w:rPr>
          <w:rFonts w:hint="eastAsia"/>
          <w:b/>
          <w:i/>
          <w:iCs/>
          <w:sz w:val="20"/>
          <w:szCs w:val="20"/>
          <w:u w:val="single"/>
        </w:rPr>
        <w:t>T</w:t>
      </w:r>
      <w:r>
        <w:rPr>
          <w:rFonts w:hint="eastAsia"/>
          <w:b/>
          <w:i/>
          <w:iCs/>
          <w:sz w:val="20"/>
          <w:szCs w:val="20"/>
          <w:u w:val="single"/>
          <w:vertAlign w:val="subscript"/>
        </w:rPr>
        <w:t>measure</w:t>
      </w:r>
      <w:r>
        <w:rPr>
          <w:rFonts w:hint="eastAsia"/>
          <w:b/>
          <w:i/>
          <w:iCs/>
          <w:sz w:val="20"/>
          <w:szCs w:val="20"/>
          <w:u w:val="single"/>
        </w:rPr>
        <w:t xml:space="preserve"> in C</w:t>
      </w:r>
      <w:r>
        <w:rPr>
          <w:b/>
          <w:i/>
          <w:iCs/>
          <w:sz w:val="20"/>
          <w:szCs w:val="20"/>
          <w:u w:val="single"/>
          <w:lang w:eastAsia="ko-KR"/>
        </w:rPr>
        <w:t>HO</w:t>
      </w:r>
      <w:r>
        <w:rPr>
          <w:rFonts w:hint="eastAsia"/>
          <w:b/>
          <w:i/>
          <w:iCs/>
          <w:sz w:val="20"/>
          <w:szCs w:val="20"/>
          <w:u w:val="single"/>
        </w:rPr>
        <w:t xml:space="preserve"> requirements for UE with antenna array</w:t>
      </w:r>
    </w:p>
    <w:p>
      <w:pPr>
        <w:spacing w:before="6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When UE configured with CHO, UE need to measure the candidate cells to further decide its HO target. </w:t>
      </w:r>
    </w:p>
    <w:p>
      <w:pPr>
        <w:spacing w:before="6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In the current spec, the measurement time delay measured without Time To Trigger (TTT) and L3 filtering shall be less than T</w:t>
      </w:r>
      <w:r>
        <w:rPr>
          <w:rFonts w:hint="eastAsia"/>
          <w:bCs/>
          <w:sz w:val="20"/>
          <w:szCs w:val="20"/>
          <w:vertAlign w:val="subscript"/>
        </w:rPr>
        <w:t>identify intra with index</w:t>
      </w:r>
      <w:r>
        <w:rPr>
          <w:rFonts w:hint="eastAsia"/>
          <w:bCs/>
          <w:sz w:val="20"/>
          <w:szCs w:val="20"/>
        </w:rPr>
        <w:t xml:space="preserve"> or T</w:t>
      </w:r>
      <w:r>
        <w:rPr>
          <w:rFonts w:hint="eastAsia"/>
          <w:bCs/>
          <w:sz w:val="20"/>
          <w:szCs w:val="20"/>
          <w:vertAlign w:val="subscript"/>
        </w:rPr>
        <w:t>identify_intra_without_index</w:t>
      </w:r>
      <w:r>
        <w:rPr>
          <w:rFonts w:hint="eastAsia"/>
          <w:bCs/>
          <w:sz w:val="20"/>
          <w:szCs w:val="20"/>
        </w:rPr>
        <w:t xml:space="preserve"> defined in clause 9.2X.5.1 or clause 9.2X.6.2 for intra-frequency handover, and shall be less than T</w:t>
      </w:r>
      <w:r>
        <w:rPr>
          <w:rFonts w:hint="eastAsia"/>
          <w:bCs/>
          <w:sz w:val="20"/>
          <w:szCs w:val="20"/>
          <w:vertAlign w:val="subscript"/>
        </w:rPr>
        <w:t>identify_inter_with_index</w:t>
      </w:r>
      <w:r>
        <w:rPr>
          <w:rFonts w:hint="eastAsia"/>
          <w:bCs/>
          <w:sz w:val="20"/>
          <w:szCs w:val="20"/>
        </w:rPr>
        <w:t xml:space="preserve"> or T</w:t>
      </w:r>
      <w:r>
        <w:rPr>
          <w:rFonts w:hint="eastAsia"/>
          <w:bCs/>
          <w:sz w:val="20"/>
          <w:szCs w:val="20"/>
          <w:vertAlign w:val="subscript"/>
        </w:rPr>
        <w:t>identify_inter_without_index</w:t>
      </w:r>
      <w:r>
        <w:rPr>
          <w:rFonts w:hint="eastAsia"/>
          <w:bCs/>
          <w:sz w:val="20"/>
          <w:szCs w:val="20"/>
        </w:rPr>
        <w:t xml:space="preserve"> defined in clause 9.3X.4.</w:t>
      </w:r>
    </w:p>
    <w:p>
      <w:pPr>
        <w:spacing w:before="60"/>
        <w:jc w:val="both"/>
        <w:rPr>
          <w:rFonts w:eastAsia="宋体"/>
          <w:sz w:val="20"/>
          <w:szCs w:val="20"/>
        </w:rPr>
      </w:pPr>
      <w:r>
        <w:rPr>
          <w:rFonts w:hint="eastAsia"/>
          <w:bCs/>
          <w:sz w:val="20"/>
          <w:szCs w:val="20"/>
        </w:rPr>
        <w:t>However, since UE is not need to monitor the serving cell,</w:t>
      </w:r>
      <w:r>
        <w:rPr>
          <w:rFonts w:hint="eastAsia" w:eastAsia="宋体"/>
          <w:sz w:val="20"/>
          <w:szCs w:val="20"/>
        </w:rPr>
        <w:t xml:space="preserve">for intra-frequency measurement, </w:t>
      </w:r>
      <w:r>
        <w:rPr>
          <w:rFonts w:hint="eastAsia"/>
          <w:bCs/>
          <w:sz w:val="20"/>
          <w:szCs w:val="20"/>
        </w:rPr>
        <w:t xml:space="preserve">the scaling factor for UE with antenna array shall be decreased to N=2 </w:t>
      </w:r>
      <w:r>
        <w:rPr>
          <w:rFonts w:hint="eastAsia" w:eastAsia="宋体"/>
          <w:sz w:val="20"/>
          <w:szCs w:val="20"/>
        </w:rPr>
        <w:t>when network assistance on ATG cells reference locations is provided, and N=3 otherwise.</w:t>
      </w:r>
    </w:p>
    <w:p>
      <w:pPr>
        <w:spacing w:before="60"/>
        <w:jc w:val="both"/>
        <w:rPr>
          <w:b/>
          <w:i/>
          <w:iCs/>
          <w:sz w:val="20"/>
          <w:szCs w:val="20"/>
          <w:u w:val="single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2</w:t>
      </w:r>
      <w:r>
        <w:rPr>
          <w:rFonts w:hint="eastAsia"/>
          <w:b/>
          <w:i/>
          <w:iCs/>
          <w:sz w:val="20"/>
          <w:szCs w:val="20"/>
        </w:rPr>
        <w:t>: For CHO requirements, when network assistance on ATG cells reference BS locations is provided to UE with antenna array, the scaling factor of T</w:t>
      </w:r>
      <w:r>
        <w:rPr>
          <w:rFonts w:hint="eastAsia"/>
          <w:b/>
          <w:i/>
          <w:iCs/>
          <w:sz w:val="20"/>
          <w:szCs w:val="20"/>
          <w:vertAlign w:val="subscript"/>
        </w:rPr>
        <w:t>identify intra with index</w:t>
      </w:r>
      <w:r>
        <w:rPr>
          <w:rFonts w:hint="eastAsia"/>
          <w:b/>
          <w:i/>
          <w:iCs/>
          <w:sz w:val="20"/>
          <w:szCs w:val="20"/>
        </w:rPr>
        <w:t xml:space="preserve"> or T</w:t>
      </w:r>
      <w:r>
        <w:rPr>
          <w:rFonts w:hint="eastAsia"/>
          <w:b/>
          <w:i/>
          <w:iCs/>
          <w:sz w:val="20"/>
          <w:szCs w:val="20"/>
          <w:vertAlign w:val="subscript"/>
        </w:rPr>
        <w:t>identify_intra_without_index</w:t>
      </w:r>
      <w:r>
        <w:rPr>
          <w:rFonts w:hint="eastAsia"/>
          <w:b/>
          <w:i/>
          <w:iCs/>
          <w:sz w:val="20"/>
          <w:szCs w:val="20"/>
        </w:rPr>
        <w:t xml:space="preserve"> should be decreased to N=2, and N=3 otherwise.</w:t>
      </w:r>
    </w:p>
    <w:p>
      <w:pPr>
        <w:rPr>
          <w:b/>
          <w:i/>
          <w:iCs/>
          <w:sz w:val="20"/>
          <w:szCs w:val="20"/>
          <w:u w:val="single"/>
          <w:lang w:eastAsia="ko-KR"/>
        </w:rPr>
      </w:pPr>
    </w:p>
    <w:p>
      <w:pPr>
        <w:rPr>
          <w:rFonts w:hint="eastAsia"/>
          <w:b/>
          <w:i/>
          <w:iCs/>
          <w:sz w:val="20"/>
          <w:szCs w:val="20"/>
          <w:u w:val="single"/>
        </w:rPr>
      </w:pPr>
      <w:r>
        <w:rPr>
          <w:rFonts w:hint="eastAsia"/>
          <w:b/>
          <w:i/>
          <w:iCs/>
          <w:sz w:val="20"/>
          <w:szCs w:val="20"/>
          <w:u w:val="single"/>
        </w:rPr>
        <w:t>Requirement applicability for CHO requirement</w:t>
      </w:r>
    </w:p>
    <w:p>
      <w:pPr>
        <w:spacing w:before="60"/>
        <w:jc w:val="both"/>
        <w:rPr>
          <w:rFonts w:hint="eastAsia" w:ascii="Times New Roman" w:hAnsi="Times New Roman" w:cs="Times New Roman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 w:val="0"/>
          <w:sz w:val="20"/>
          <w:szCs w:val="20"/>
          <w:u w:val="none"/>
          <w:lang w:val="en-US" w:eastAsia="zh-CN"/>
        </w:rPr>
        <w:t>The requirements applicability in the apporved CR is as follows: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>
            <w:pPr>
              <w:rPr>
                <w:rFonts w:hint="default"/>
                <w:b/>
                <w:i/>
                <w:i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i/>
                <w:iCs/>
                <w:sz w:val="20"/>
                <w:szCs w:val="20"/>
              </w:rPr>
              <w:t>The requirements in this clause are applicable to both intra-frequency and inter-frequency conditional handover from NR FR1 cell to NR FR1 cell.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sz w:val="20"/>
                <w:szCs w:val="20"/>
                <w:highlight w:val="yellow"/>
                <w:lang w:val="en-US" w:eastAsia="zh-CN"/>
              </w:rPr>
              <w:t xml:space="preserve">When the [location based CHO] is configured to UE, </w:t>
            </w:r>
            <w:r>
              <w:rPr>
                <w:i/>
                <w:iCs/>
                <w:sz w:val="20"/>
                <w:szCs w:val="20"/>
                <w:highlight w:val="yellow"/>
              </w:rPr>
              <w:t xml:space="preserve">The requirements in this clause apply provided that UE has </w:t>
            </w:r>
            <w:r>
              <w:rPr>
                <w:rFonts w:hint="eastAsia" w:cs="v4.2.0"/>
                <w:i/>
                <w:iCs/>
                <w:sz w:val="20"/>
                <w:szCs w:val="20"/>
                <w:highlight w:val="yellow"/>
                <w:lang w:eastAsia="zh-CN"/>
              </w:rPr>
              <w:t xml:space="preserve">the valid </w:t>
            </w:r>
            <w:r>
              <w:rPr>
                <w:rFonts w:cs="v4.2.0"/>
                <w:i/>
                <w:iCs/>
                <w:sz w:val="20"/>
                <w:szCs w:val="20"/>
                <w:highlight w:val="yellow"/>
                <w:lang w:eastAsia="zh-CN"/>
              </w:rPr>
              <w:t>and applicable</w:t>
            </w:r>
            <w:r>
              <w:rPr>
                <w:rFonts w:hint="eastAsia" w:cs="v4.2.0"/>
                <w:i/>
                <w:iCs/>
                <w:sz w:val="20"/>
                <w:szCs w:val="20"/>
                <w:highlight w:val="yellow"/>
                <w:lang w:eastAsia="zh-CN"/>
              </w:rPr>
              <w:t xml:space="preserve"> parameters of </w:t>
            </w:r>
            <w:r>
              <w:rPr>
                <w:rFonts w:hint="eastAsia" w:cs="v4.2.0"/>
                <w:i/>
                <w:iCs/>
                <w:sz w:val="20"/>
                <w:szCs w:val="20"/>
                <w:highlight w:val="yellow"/>
                <w:lang w:val="en-US" w:eastAsia="zh-CN"/>
              </w:rPr>
              <w:t>BS location</w:t>
            </w:r>
            <w:r>
              <w:rPr>
                <w:rFonts w:cs="v4.2.0"/>
                <w:i/>
                <w:iCs/>
                <w:sz w:val="20"/>
                <w:szCs w:val="20"/>
                <w:highlight w:val="yellow"/>
                <w:lang w:eastAsia="zh-CN"/>
              </w:rPr>
              <w:t xml:space="preserve"> information</w:t>
            </w:r>
            <w:r>
              <w:rPr>
                <w:rFonts w:hint="eastAsia" w:cs="v4.2.0"/>
                <w:i/>
                <w:iCs/>
                <w:sz w:val="20"/>
                <w:szCs w:val="20"/>
                <w:highlight w:val="yellow"/>
                <w:lang w:val="en-US" w:eastAsia="zh-CN"/>
              </w:rPr>
              <w:t xml:space="preserve"> and</w:t>
            </w:r>
            <w:r>
              <w:rPr>
                <w:rFonts w:hint="eastAsia" w:cs="v4.2.0"/>
                <w:i/>
                <w:iCs/>
                <w:sz w:val="20"/>
                <w:szCs w:val="20"/>
                <w:highlight w:val="yellow"/>
                <w:lang w:eastAsia="zh-CN"/>
              </w:rPr>
              <w:t xml:space="preserve"> </w:t>
            </w:r>
            <w:r>
              <w:rPr>
                <w:rFonts w:cs="v4.2.0"/>
                <w:i/>
                <w:iCs/>
                <w:sz w:val="20"/>
                <w:szCs w:val="20"/>
                <w:highlight w:val="yellow"/>
                <w:lang w:eastAsia="zh-CN"/>
              </w:rPr>
              <w:t>K</w:t>
            </w:r>
            <w:r>
              <w:rPr>
                <w:rFonts w:cs="v4.2.0"/>
                <w:i/>
                <w:iCs/>
                <w:sz w:val="20"/>
                <w:szCs w:val="20"/>
                <w:highlight w:val="yellow"/>
                <w:vertAlign w:val="subscript"/>
                <w:lang w:eastAsia="zh-CN"/>
              </w:rPr>
              <w:t>offset</w:t>
            </w:r>
            <w:r>
              <w:rPr>
                <w:rFonts w:hint="eastAsia" w:cs="v4.2.0"/>
                <w:i/>
                <w:iCs/>
                <w:sz w:val="20"/>
                <w:szCs w:val="20"/>
                <w:highlight w:val="yellow"/>
                <w:lang w:eastAsia="zh-CN"/>
              </w:rPr>
              <w:t xml:space="preserve"> for target NR cell</w:t>
            </w:r>
            <w:r>
              <w:rPr>
                <w:rFonts w:cs="v4.2.0"/>
                <w:i/>
                <w:iCs/>
                <w:sz w:val="20"/>
                <w:szCs w:val="20"/>
                <w:highlight w:val="yellow"/>
                <w:lang w:eastAsia="zh-CN"/>
              </w:rPr>
              <w:t xml:space="preserve"> during </w:t>
            </w:r>
            <w:r>
              <w:rPr>
                <w:i/>
                <w:iCs/>
                <w:sz w:val="20"/>
                <w:szCs w:val="20"/>
                <w:highlight w:val="yellow"/>
                <w:lang w:val="en-US" w:eastAsia="zh-CN"/>
              </w:rPr>
              <w:t>D</w:t>
            </w:r>
            <w:r>
              <w:rPr>
                <w:i/>
                <w:iCs/>
                <w:sz w:val="20"/>
                <w:szCs w:val="20"/>
                <w:highlight w:val="yellow"/>
                <w:vertAlign w:val="subscript"/>
                <w:lang w:val="en-US" w:eastAsia="zh-CN"/>
              </w:rPr>
              <w:t>CHO</w:t>
            </w:r>
            <w:r>
              <w:rPr>
                <w:rFonts w:cs="v4.2.0"/>
                <w:i/>
                <w:iCs/>
                <w:sz w:val="20"/>
                <w:szCs w:val="20"/>
                <w:highlight w:val="yellow"/>
                <w:lang w:eastAsia="zh-CN"/>
              </w:rPr>
              <w:t xml:space="preserve">, </w:t>
            </w:r>
            <w:r>
              <w:rPr>
                <w:rFonts w:cs="v4.2.0"/>
                <w:i/>
                <w:iCs/>
                <w:sz w:val="20"/>
                <w:szCs w:val="20"/>
                <w:lang w:eastAsia="zh-CN"/>
              </w:rPr>
              <w:t>otherwise the measurement time, prepar</w:t>
            </w:r>
            <w:bookmarkStart w:id="11" w:name="_GoBack"/>
            <w:bookmarkEnd w:id="11"/>
            <w:r>
              <w:rPr>
                <w:rFonts w:cs="v4.2.0"/>
                <w:i/>
                <w:iCs/>
                <w:sz w:val="20"/>
                <w:szCs w:val="20"/>
                <w:lang w:eastAsia="zh-CN"/>
              </w:rPr>
              <w:t xml:space="preserve">ation time and interruption time may be longer than the requirements in clause </w:t>
            </w:r>
            <w:r>
              <w:rPr>
                <w:i/>
                <w:iCs/>
                <w:sz w:val="20"/>
                <w:szCs w:val="20"/>
              </w:rPr>
              <w:t>6.1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X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rFonts w:hint="eastAsia"/>
                <w:i/>
                <w:iCs/>
                <w:sz w:val="20"/>
                <w:szCs w:val="20"/>
                <w:lang w:eastAsia="zh-CN"/>
              </w:rPr>
              <w:t>2</w:t>
            </w:r>
            <w:r>
              <w:rPr>
                <w:i/>
                <w:iCs/>
                <w:sz w:val="20"/>
                <w:szCs w:val="20"/>
              </w:rPr>
              <w:t>.2.2</w:t>
            </w:r>
            <w:r>
              <w:rPr>
                <w:rFonts w:cs="v4.2.0"/>
                <w:i/>
                <w:iCs/>
                <w:sz w:val="20"/>
                <w:szCs w:val="20"/>
                <w:lang w:eastAsia="zh-CN"/>
              </w:rPr>
              <w:t xml:space="preserve">, </w:t>
            </w:r>
            <w:r>
              <w:rPr>
                <w:i/>
                <w:iCs/>
                <w:sz w:val="20"/>
                <w:szCs w:val="20"/>
              </w:rPr>
              <w:t>6.1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X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rFonts w:hint="eastAsia"/>
                <w:i/>
                <w:iCs/>
                <w:sz w:val="20"/>
                <w:szCs w:val="20"/>
                <w:lang w:eastAsia="zh-CN"/>
              </w:rPr>
              <w:t>2</w:t>
            </w:r>
            <w:r>
              <w:rPr>
                <w:i/>
                <w:iCs/>
                <w:sz w:val="20"/>
                <w:szCs w:val="20"/>
              </w:rPr>
              <w:t>.2.3 and 6.1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X</w:t>
            </w:r>
            <w:r>
              <w:rPr>
                <w:i/>
                <w:iCs/>
                <w:sz w:val="20"/>
                <w:szCs w:val="20"/>
              </w:rPr>
              <w:t>.</w:t>
            </w:r>
            <w:r>
              <w:rPr>
                <w:rFonts w:hint="eastAsia"/>
                <w:i/>
                <w:iCs/>
                <w:sz w:val="20"/>
                <w:szCs w:val="20"/>
                <w:lang w:eastAsia="zh-CN"/>
              </w:rPr>
              <w:t>2</w:t>
            </w:r>
            <w:r>
              <w:rPr>
                <w:i/>
                <w:iCs/>
                <w:sz w:val="20"/>
                <w:szCs w:val="20"/>
              </w:rPr>
              <w:t>.2.4.</w:t>
            </w:r>
          </w:p>
        </w:tc>
      </w:tr>
    </w:tbl>
    <w:p>
      <w:pPr>
        <w:spacing w:before="6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val="en-US" w:eastAsia="zh-CN"/>
        </w:rPr>
        <w:t>However, b</w:t>
      </w:r>
      <w:r>
        <w:rPr>
          <w:rFonts w:hint="eastAsia"/>
          <w:bCs/>
          <w:sz w:val="20"/>
          <w:szCs w:val="20"/>
        </w:rPr>
        <w:t>ased on our previous discussion, in ATG system, UE could still perform measurement and SSB tracking without the valid and applicable parameters of BS location information and K</w:t>
      </w:r>
      <w:r>
        <w:rPr>
          <w:rFonts w:hint="eastAsia"/>
          <w:bCs/>
          <w:sz w:val="20"/>
          <w:szCs w:val="20"/>
          <w:vertAlign w:val="subscript"/>
        </w:rPr>
        <w:t>offset</w:t>
      </w:r>
      <w:r>
        <w:rPr>
          <w:rFonts w:hint="eastAsia"/>
          <w:bCs/>
          <w:sz w:val="20"/>
          <w:szCs w:val="20"/>
        </w:rPr>
        <w:t xml:space="preserve"> for target NR cell. Therefore, the requirements should be applicable even if UE doesn</w:t>
      </w:r>
      <w:r>
        <w:rPr>
          <w:bCs/>
          <w:sz w:val="20"/>
          <w:szCs w:val="20"/>
        </w:rPr>
        <w:t>’</w:t>
      </w:r>
      <w:r>
        <w:rPr>
          <w:rFonts w:hint="eastAsia"/>
          <w:bCs/>
          <w:sz w:val="20"/>
          <w:szCs w:val="20"/>
        </w:rPr>
        <w:t>t have the valid and applicable parameters of BS location information and K</w:t>
      </w:r>
      <w:r>
        <w:rPr>
          <w:rFonts w:hint="eastAsia"/>
          <w:bCs/>
          <w:sz w:val="20"/>
          <w:szCs w:val="20"/>
          <w:vertAlign w:val="subscript"/>
        </w:rPr>
        <w:t>offset</w:t>
      </w:r>
      <w:r>
        <w:rPr>
          <w:rFonts w:hint="eastAsia"/>
          <w:bCs/>
          <w:sz w:val="20"/>
          <w:szCs w:val="20"/>
        </w:rPr>
        <w:t xml:space="preserve"> for target NR cell.</w:t>
      </w:r>
    </w:p>
    <w:p>
      <w:p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3</w:t>
      </w:r>
      <w:r>
        <w:rPr>
          <w:rFonts w:hint="eastAsia"/>
          <w:b/>
          <w:i/>
          <w:iCs/>
          <w:sz w:val="20"/>
          <w:szCs w:val="20"/>
        </w:rPr>
        <w:t>: For CHO requirements, it should be applicable even if UE doesn</w:t>
      </w:r>
      <w:r>
        <w:rPr>
          <w:b/>
          <w:i/>
          <w:iCs/>
          <w:sz w:val="20"/>
          <w:szCs w:val="20"/>
        </w:rPr>
        <w:t>’</w:t>
      </w:r>
      <w:r>
        <w:rPr>
          <w:rFonts w:hint="eastAsia"/>
          <w:b/>
          <w:i/>
          <w:iCs/>
          <w:sz w:val="20"/>
          <w:szCs w:val="20"/>
        </w:rPr>
        <w:t>t have the valid and applicable parameters of BS location information and K</w:t>
      </w:r>
      <w:r>
        <w:rPr>
          <w:rFonts w:hint="eastAsia"/>
          <w:b/>
          <w:i/>
          <w:iCs/>
          <w:sz w:val="20"/>
          <w:szCs w:val="20"/>
          <w:vertAlign w:val="subscript"/>
        </w:rPr>
        <w:t>offset</w:t>
      </w:r>
      <w:r>
        <w:rPr>
          <w:rFonts w:hint="eastAsia"/>
          <w:b/>
          <w:i/>
          <w:iCs/>
          <w:sz w:val="20"/>
          <w:szCs w:val="20"/>
        </w:rPr>
        <w:t xml:space="preserve"> for target NR cell.</w:t>
      </w:r>
    </w:p>
    <w:p>
      <w:pPr>
        <w:rPr>
          <w:b/>
          <w:i/>
          <w:iCs/>
          <w:sz w:val="20"/>
          <w:szCs w:val="20"/>
          <w:u w:val="single"/>
          <w:lang w:eastAsia="ko-KR"/>
        </w:rPr>
      </w:pPr>
    </w:p>
    <w:p>
      <w:pPr>
        <w:rPr>
          <w:b/>
          <w:i/>
          <w:iCs/>
          <w:sz w:val="20"/>
          <w:szCs w:val="20"/>
          <w:u w:val="single"/>
        </w:rPr>
      </w:pPr>
      <w:r>
        <w:rPr>
          <w:rFonts w:hint="eastAsia"/>
          <w:b/>
          <w:i/>
          <w:iCs/>
          <w:sz w:val="20"/>
          <w:szCs w:val="20"/>
          <w:u w:val="single"/>
          <w:lang w:eastAsia="ko-KR"/>
        </w:rPr>
        <w:t>T</w:t>
      </w:r>
      <w:r>
        <w:rPr>
          <w:rFonts w:hint="eastAsia"/>
          <w:b/>
          <w:i/>
          <w:iCs/>
          <w:sz w:val="20"/>
          <w:szCs w:val="20"/>
          <w:u w:val="single"/>
          <w:vertAlign w:val="subscript"/>
          <w:lang w:eastAsia="ko-KR"/>
        </w:rPr>
        <w:t>identify_intra_NR</w:t>
      </w:r>
      <w:r>
        <w:rPr>
          <w:rFonts w:hint="eastAsia"/>
          <w:b/>
          <w:i/>
          <w:iCs/>
          <w:sz w:val="20"/>
          <w:szCs w:val="20"/>
          <w:u w:val="single"/>
        </w:rPr>
        <w:t xml:space="preserve"> in RRC Re-establishment delay requirement for UE with antenna array</w:t>
      </w:r>
    </w:p>
    <w:p>
      <w:pPr>
        <w:spacing w:before="60"/>
        <w:jc w:val="both"/>
        <w:rPr>
          <w:b/>
          <w:i/>
          <w:iCs/>
          <w:sz w:val="20"/>
          <w:szCs w:val="20"/>
          <w:u w:val="single"/>
        </w:rPr>
      </w:pPr>
      <w:r>
        <w:rPr>
          <w:rFonts w:hint="eastAsia"/>
          <w:bCs/>
          <w:sz w:val="20"/>
          <w:szCs w:val="20"/>
        </w:rPr>
        <w:t>For UE with antenna array, the scaling factor should be considered for unknown cells of intra-frequency and inter-frequency. The scaling factor of L3 measurements are suggested to be used. For intra-frequency, N = 3 for the case when network assistance on ATG cells reference locations is provided, N = 4 otherwise. For inter-frequency, N = 2 for the case when network assistance on ATG cells reference locations is provided, N = 3 otherwise.</w:t>
      </w:r>
    </w:p>
    <w:p>
      <w:p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>Proposal 4: For UE with antenna array, the scaling factor should be considered for unknown cells of intra-frequency and inter-frequency in RRC Re-establishment delay requirement requirements. The scaling factor of L3 measurements should be used.</w:t>
      </w:r>
    </w:p>
    <w:p>
      <w:pPr>
        <w:numPr>
          <w:ilvl w:val="0"/>
          <w:numId w:val="6"/>
        </w:num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 xml:space="preserve">For intra-frequency, N = 3 for the case when network assistance on ATG cells reference BS locations is provided, N = 4 otherwise. </w:t>
      </w:r>
    </w:p>
    <w:p>
      <w:pPr>
        <w:numPr>
          <w:ilvl w:val="0"/>
          <w:numId w:val="6"/>
        </w:num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>For inter-frequency, N = 2 for the case when network assistance on ATG cells reference BS locations is provided, N = 3 otherwise.</w:t>
      </w:r>
    </w:p>
    <w:p>
      <w:pPr>
        <w:rPr>
          <w:b/>
          <w:i/>
          <w:iCs/>
          <w:sz w:val="20"/>
          <w:szCs w:val="20"/>
          <w:u w:val="single"/>
        </w:rPr>
      </w:pPr>
    </w:p>
    <w:p>
      <w:pPr>
        <w:rPr>
          <w:b/>
          <w:i/>
          <w:iCs/>
          <w:sz w:val="20"/>
          <w:szCs w:val="20"/>
          <w:u w:val="single"/>
        </w:rPr>
      </w:pPr>
      <w:r>
        <w:rPr>
          <w:rFonts w:hint="eastAsia"/>
          <w:b/>
          <w:i/>
          <w:iCs/>
          <w:sz w:val="20"/>
          <w:szCs w:val="20"/>
          <w:u w:val="single"/>
          <w:lang w:eastAsia="ko-KR"/>
        </w:rPr>
        <w:t>T</w:t>
      </w:r>
      <w:r>
        <w:rPr>
          <w:rFonts w:hint="eastAsia"/>
          <w:b/>
          <w:i/>
          <w:iCs/>
          <w:sz w:val="20"/>
          <w:szCs w:val="20"/>
          <w:u w:val="single"/>
          <w:vertAlign w:val="subscript"/>
          <w:lang w:eastAsia="ko-KR"/>
        </w:rPr>
        <w:t>identify</w:t>
      </w:r>
      <w:r>
        <w:rPr>
          <w:rFonts w:hint="eastAsia"/>
          <w:b/>
          <w:i/>
          <w:iCs/>
          <w:sz w:val="20"/>
          <w:szCs w:val="20"/>
          <w:u w:val="single"/>
          <w:vertAlign w:val="subscript"/>
        </w:rPr>
        <w:t>_</w:t>
      </w:r>
      <w:r>
        <w:rPr>
          <w:rFonts w:hint="eastAsia"/>
          <w:b/>
          <w:i/>
          <w:iCs/>
          <w:sz w:val="20"/>
          <w:szCs w:val="20"/>
          <w:u w:val="single"/>
          <w:vertAlign w:val="subscript"/>
          <w:lang w:eastAsia="ko-KR"/>
        </w:rPr>
        <w:t>NR</w:t>
      </w:r>
      <w:r>
        <w:rPr>
          <w:rFonts w:hint="eastAsia"/>
          <w:b/>
          <w:i/>
          <w:iCs/>
          <w:sz w:val="20"/>
          <w:szCs w:val="20"/>
          <w:u w:val="single"/>
        </w:rPr>
        <w:t xml:space="preserve"> in RRC connection release with redirection requirement for UE with antenna array</w:t>
      </w:r>
    </w:p>
    <w:bookmarkEnd w:id="9"/>
    <w:p>
      <w:pPr>
        <w:spacing w:before="60"/>
        <w:jc w:val="both"/>
        <w:rPr>
          <w:b/>
          <w:i/>
          <w:iCs/>
          <w:sz w:val="20"/>
          <w:szCs w:val="20"/>
          <w:u w:val="single"/>
        </w:rPr>
      </w:pPr>
      <w:bookmarkStart w:id="10" w:name="_Hlk133265176"/>
      <w:r>
        <w:rPr>
          <w:rFonts w:hint="eastAsia"/>
          <w:bCs/>
          <w:sz w:val="20"/>
          <w:szCs w:val="20"/>
        </w:rPr>
        <w:t>For RRC connection release with redirection, network will re-direct UE only to inter-frequency in ATG system. Therefore, for UE with antenna array, the scaling factor of L3 inter-frequency measurements are suggested to be used. N = 2 for the case when network assistance on ATG cells reference BS locations is provided, N = 3 otherwise.</w:t>
      </w:r>
    </w:p>
    <w:p>
      <w:p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>Proposal 5: For UE with antenna array, the scaling factor of L3 inter-frequency measurements are suggested to be used. N = 2 for the case when network assistance on ATG cells reference BS locations is provided, N = 3 otherwise.</w:t>
      </w:r>
    </w:p>
    <w:bookmarkEnd w:id="6"/>
    <w:bookmarkEnd w:id="10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Based on the discussion above, the following proposals are concluded. </w:t>
      </w:r>
      <w:bookmarkEnd w:id="7"/>
      <w:bookmarkEnd w:id="8"/>
    </w:p>
    <w:p>
      <w:pPr>
        <w:spacing w:before="60"/>
        <w:jc w:val="both"/>
        <w:rPr>
          <w:rFonts w:hint="eastAsia"/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 xml:space="preserve">Proposal 1: For HO requirements, </w:t>
      </w:r>
    </w:p>
    <w:p>
      <w:pPr>
        <w:numPr>
          <w:ilvl w:val="0"/>
          <w:numId w:val="5"/>
        </w:numPr>
        <w:spacing w:before="60"/>
        <w:ind w:left="420" w:hanging="420"/>
        <w:jc w:val="both"/>
      </w:pPr>
      <w:r>
        <w:rPr>
          <w:rFonts w:hint="eastAsia"/>
          <w:b/>
          <w:i/>
          <w:iCs/>
          <w:sz w:val="20"/>
          <w:szCs w:val="20"/>
        </w:rPr>
        <w:t>when network assistance on ATG unknown target cell</w:t>
      </w:r>
      <w:r>
        <w:rPr>
          <w:b/>
          <w:i/>
          <w:iCs/>
          <w:sz w:val="20"/>
          <w:szCs w:val="20"/>
        </w:rPr>
        <w:t>’</w:t>
      </w:r>
      <w:r>
        <w:rPr>
          <w:rFonts w:hint="eastAsia"/>
          <w:b/>
          <w:i/>
          <w:iCs/>
          <w:sz w:val="20"/>
          <w:szCs w:val="20"/>
        </w:rPr>
        <w:t>s reference BS locations is not provided, the T</w:t>
      </w:r>
      <w:r>
        <w:rPr>
          <w:rFonts w:hint="eastAsia"/>
          <w:b/>
          <w:i/>
          <w:iCs/>
          <w:sz w:val="20"/>
          <w:szCs w:val="20"/>
          <w:vertAlign w:val="subscript"/>
        </w:rPr>
        <w:t>search</w:t>
      </w:r>
      <w:r>
        <w:rPr>
          <w:rFonts w:hint="eastAsia"/>
          <w:b/>
          <w:i/>
          <w:iCs/>
          <w:sz w:val="20"/>
          <w:szCs w:val="20"/>
        </w:rPr>
        <w:t xml:space="preserve"> should be scaled with scaling factor N=3.</w:t>
      </w:r>
    </w:p>
    <w:p>
      <w:pPr>
        <w:numPr>
          <w:ilvl w:val="0"/>
          <w:numId w:val="5"/>
        </w:numPr>
        <w:spacing w:before="60"/>
        <w:ind w:left="420" w:hanging="420"/>
        <w:jc w:val="both"/>
        <w:rPr>
          <w:rFonts w:hint="eastAsia" w:eastAsiaTheme="minorEastAsia"/>
          <w:b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sz w:val="20"/>
          <w:szCs w:val="20"/>
          <w:lang w:val="en-US" w:eastAsia="zh-CN"/>
        </w:rPr>
        <w:t>When network assistance on ATG unknown target cell’s reference BS locations is provided, no need to scale the T</w:t>
      </w:r>
      <w:r>
        <w:rPr>
          <w:rFonts w:hint="eastAsia"/>
          <w:b/>
          <w:i/>
          <w:iCs/>
          <w:sz w:val="20"/>
          <w:szCs w:val="20"/>
          <w:vertAlign w:val="subscript"/>
          <w:lang w:val="en-US" w:eastAsia="zh-CN"/>
        </w:rPr>
        <w:t>search</w:t>
      </w:r>
    </w:p>
    <w:p>
      <w:pPr>
        <w:spacing w:before="60"/>
        <w:jc w:val="both"/>
        <w:rPr>
          <w:b/>
          <w:i/>
          <w:iCs/>
          <w:sz w:val="20"/>
          <w:szCs w:val="20"/>
          <w:u w:val="single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2</w:t>
      </w:r>
      <w:r>
        <w:rPr>
          <w:rFonts w:hint="eastAsia"/>
          <w:b/>
          <w:i/>
          <w:iCs/>
          <w:sz w:val="20"/>
          <w:szCs w:val="20"/>
        </w:rPr>
        <w:t>: For CHO requirements, when network assistance on ATG cells reference BS locations is provided to UE with antenna array, the scaling factor of T</w:t>
      </w:r>
      <w:r>
        <w:rPr>
          <w:rFonts w:hint="eastAsia"/>
          <w:b/>
          <w:i/>
          <w:iCs/>
          <w:sz w:val="20"/>
          <w:szCs w:val="20"/>
          <w:vertAlign w:val="subscript"/>
        </w:rPr>
        <w:t>identify intra with index</w:t>
      </w:r>
      <w:r>
        <w:rPr>
          <w:rFonts w:hint="eastAsia"/>
          <w:b/>
          <w:i/>
          <w:iCs/>
          <w:sz w:val="20"/>
          <w:szCs w:val="20"/>
        </w:rPr>
        <w:t xml:space="preserve"> or T</w:t>
      </w:r>
      <w:r>
        <w:rPr>
          <w:rFonts w:hint="eastAsia"/>
          <w:b/>
          <w:i/>
          <w:iCs/>
          <w:sz w:val="20"/>
          <w:szCs w:val="20"/>
          <w:vertAlign w:val="subscript"/>
        </w:rPr>
        <w:t>identify_intra_without_index</w:t>
      </w:r>
      <w:r>
        <w:rPr>
          <w:rFonts w:hint="eastAsia"/>
          <w:b/>
          <w:i/>
          <w:iCs/>
          <w:sz w:val="20"/>
          <w:szCs w:val="20"/>
        </w:rPr>
        <w:t xml:space="preserve"> should be decreased to N=2, and N=3 otherwise.</w:t>
      </w:r>
    </w:p>
    <w:p>
      <w:p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 xml:space="preserve">Proposal </w:t>
      </w:r>
      <w:r>
        <w:rPr>
          <w:rFonts w:hint="eastAsia"/>
          <w:b/>
          <w:i/>
          <w:iCs/>
          <w:sz w:val="20"/>
          <w:szCs w:val="20"/>
          <w:lang w:val="en-US" w:eastAsia="zh-CN"/>
        </w:rPr>
        <w:t>3</w:t>
      </w:r>
      <w:r>
        <w:rPr>
          <w:rFonts w:hint="eastAsia"/>
          <w:b/>
          <w:i/>
          <w:iCs/>
          <w:sz w:val="20"/>
          <w:szCs w:val="20"/>
        </w:rPr>
        <w:t>: For CHO requirements, it should be applicable even if UE doesn</w:t>
      </w:r>
      <w:r>
        <w:rPr>
          <w:b/>
          <w:i/>
          <w:iCs/>
          <w:sz w:val="20"/>
          <w:szCs w:val="20"/>
        </w:rPr>
        <w:t>’</w:t>
      </w:r>
      <w:r>
        <w:rPr>
          <w:rFonts w:hint="eastAsia"/>
          <w:b/>
          <w:i/>
          <w:iCs/>
          <w:sz w:val="20"/>
          <w:szCs w:val="20"/>
        </w:rPr>
        <w:t>t have the valid and applicable parameters of BS location information and K</w:t>
      </w:r>
      <w:r>
        <w:rPr>
          <w:rFonts w:hint="eastAsia"/>
          <w:b/>
          <w:i/>
          <w:iCs/>
          <w:sz w:val="20"/>
          <w:szCs w:val="20"/>
          <w:vertAlign w:val="subscript"/>
        </w:rPr>
        <w:t>offset</w:t>
      </w:r>
      <w:r>
        <w:rPr>
          <w:rFonts w:hint="eastAsia"/>
          <w:b/>
          <w:i/>
          <w:iCs/>
          <w:sz w:val="20"/>
          <w:szCs w:val="20"/>
        </w:rPr>
        <w:t xml:space="preserve"> for target NR cell.</w:t>
      </w:r>
    </w:p>
    <w:p>
      <w:p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>Proposal 4: For UE with antenna array, the scaling factor should be considered for unknown cells of intra-frequency and inter-frequency in RRC Re-establishment delay requirement requirements. The scaling factor of L3 measurements should be used.</w:t>
      </w:r>
    </w:p>
    <w:p>
      <w:pPr>
        <w:numPr>
          <w:ilvl w:val="0"/>
          <w:numId w:val="6"/>
        </w:num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 xml:space="preserve">For intra-frequency, N = 3 for the case when network assistance on ATG cells reference BS locations is provided, N = 4 otherwise. </w:t>
      </w:r>
    </w:p>
    <w:p>
      <w:pPr>
        <w:numPr>
          <w:ilvl w:val="0"/>
          <w:numId w:val="6"/>
        </w:num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>For inter-frequency, N = 2 for the case when network assistance on ATG cells reference BS locations is provided, N = 3 otherwise.</w:t>
      </w:r>
    </w:p>
    <w:p>
      <w:pPr>
        <w:spacing w:before="60"/>
        <w:jc w:val="both"/>
        <w:rPr>
          <w:b/>
          <w:i/>
          <w:iCs/>
          <w:sz w:val="20"/>
          <w:szCs w:val="20"/>
        </w:rPr>
      </w:pPr>
      <w:r>
        <w:rPr>
          <w:rFonts w:hint="eastAsia"/>
          <w:b/>
          <w:i/>
          <w:iCs/>
          <w:sz w:val="20"/>
          <w:szCs w:val="20"/>
        </w:rPr>
        <w:t>Proposal 5: For UE with antenna array, the scaling factor of L3 inter-frequency measurements are suggested to be used. N = 2 for the case when network assistance on ATG cells reference BS locations is provided, N = 3 otherwise.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numPr>
          <w:ilvl w:val="0"/>
          <w:numId w:val="7"/>
        </w:num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>R4-2314307, WF on NR ATG RRM requirements, CMCC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39F547"/>
    <w:multiLevelType w:val="singleLevel"/>
    <w:tmpl w:val="9639F54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1708A4A"/>
    <w:multiLevelType w:val="singleLevel"/>
    <w:tmpl w:val="E1708A4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71BBCF5"/>
    <w:multiLevelType w:val="singleLevel"/>
    <w:tmpl w:val="471BBCF5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5NjVlZjdjZDdmYTAxNzEyYjA5NGY0NTVhZTIzMmQifQ=="/>
  </w:docVars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07733"/>
    <w:rsid w:val="000101E8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569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CB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00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0EA5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46A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6B9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C49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0E40"/>
    <w:rsid w:val="000B0F94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3A1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51E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3910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96C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A95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3AF5"/>
    <w:rsid w:val="001540A5"/>
    <w:rsid w:val="001546F8"/>
    <w:rsid w:val="00154BD3"/>
    <w:rsid w:val="00154C8D"/>
    <w:rsid w:val="00154F4C"/>
    <w:rsid w:val="00155A79"/>
    <w:rsid w:val="00155F45"/>
    <w:rsid w:val="001568A6"/>
    <w:rsid w:val="00156B38"/>
    <w:rsid w:val="00156F80"/>
    <w:rsid w:val="00157494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6C6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99D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9FA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244D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56A"/>
    <w:rsid w:val="001D66B6"/>
    <w:rsid w:val="001D696C"/>
    <w:rsid w:val="001D6C84"/>
    <w:rsid w:val="001D6CE6"/>
    <w:rsid w:val="001D6ED9"/>
    <w:rsid w:val="001D6F0C"/>
    <w:rsid w:val="001D7220"/>
    <w:rsid w:val="001D7793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316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2FED"/>
    <w:rsid w:val="00213D0D"/>
    <w:rsid w:val="00214860"/>
    <w:rsid w:val="00214912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0F04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594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0981"/>
    <w:rsid w:val="002513F6"/>
    <w:rsid w:val="00252B5F"/>
    <w:rsid w:val="00252CEF"/>
    <w:rsid w:val="002540A3"/>
    <w:rsid w:val="002541CC"/>
    <w:rsid w:val="00254851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0D25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34F"/>
    <w:rsid w:val="00290A01"/>
    <w:rsid w:val="00291A27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ADE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5EB"/>
    <w:rsid w:val="002A6760"/>
    <w:rsid w:val="002A70C9"/>
    <w:rsid w:val="002A72A7"/>
    <w:rsid w:val="002A7C9F"/>
    <w:rsid w:val="002A7ED3"/>
    <w:rsid w:val="002B0016"/>
    <w:rsid w:val="002B00FD"/>
    <w:rsid w:val="002B07E3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959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87C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5A8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11E"/>
    <w:rsid w:val="002F75CA"/>
    <w:rsid w:val="002F77F9"/>
    <w:rsid w:val="002F798A"/>
    <w:rsid w:val="00300717"/>
    <w:rsid w:val="00300D50"/>
    <w:rsid w:val="00301554"/>
    <w:rsid w:val="00301699"/>
    <w:rsid w:val="00301A6C"/>
    <w:rsid w:val="00301C0C"/>
    <w:rsid w:val="00301EBC"/>
    <w:rsid w:val="00302346"/>
    <w:rsid w:val="003025D2"/>
    <w:rsid w:val="00302BFE"/>
    <w:rsid w:val="00302C02"/>
    <w:rsid w:val="00302EB0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5CA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A1C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620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1E"/>
    <w:rsid w:val="00334151"/>
    <w:rsid w:val="003342BF"/>
    <w:rsid w:val="00334DF5"/>
    <w:rsid w:val="0033560E"/>
    <w:rsid w:val="00336AF9"/>
    <w:rsid w:val="0033718B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34C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233"/>
    <w:rsid w:val="00370607"/>
    <w:rsid w:val="00371086"/>
    <w:rsid w:val="00371567"/>
    <w:rsid w:val="00371E3F"/>
    <w:rsid w:val="003723B0"/>
    <w:rsid w:val="003727A6"/>
    <w:rsid w:val="00372EDD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9BD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7EE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56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300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3FA1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00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99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509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10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05C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1BC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3A32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48A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318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A17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906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36DA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07F27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BD2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36B2B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696"/>
    <w:rsid w:val="00550A37"/>
    <w:rsid w:val="00550B39"/>
    <w:rsid w:val="005510C8"/>
    <w:rsid w:val="0055122D"/>
    <w:rsid w:val="00551728"/>
    <w:rsid w:val="00551CD3"/>
    <w:rsid w:val="005521E3"/>
    <w:rsid w:val="00552692"/>
    <w:rsid w:val="00552B31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3351"/>
    <w:rsid w:val="0056410B"/>
    <w:rsid w:val="0056417E"/>
    <w:rsid w:val="00564336"/>
    <w:rsid w:val="0056448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03A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683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4B8D"/>
    <w:rsid w:val="005F4C64"/>
    <w:rsid w:val="005F58D1"/>
    <w:rsid w:val="005F5B6E"/>
    <w:rsid w:val="005F6E23"/>
    <w:rsid w:val="005F6F07"/>
    <w:rsid w:val="005F7816"/>
    <w:rsid w:val="005F7AD8"/>
    <w:rsid w:val="0060111D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5D90"/>
    <w:rsid w:val="00606004"/>
    <w:rsid w:val="0060618C"/>
    <w:rsid w:val="00606201"/>
    <w:rsid w:val="00606399"/>
    <w:rsid w:val="006068DC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4CC2"/>
    <w:rsid w:val="00625685"/>
    <w:rsid w:val="00625E60"/>
    <w:rsid w:val="00625FD7"/>
    <w:rsid w:val="0062612B"/>
    <w:rsid w:val="006264D1"/>
    <w:rsid w:val="00626A75"/>
    <w:rsid w:val="006275F5"/>
    <w:rsid w:val="0062795E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AD4"/>
    <w:rsid w:val="00641B36"/>
    <w:rsid w:val="00641EA1"/>
    <w:rsid w:val="0064233E"/>
    <w:rsid w:val="00642FCB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33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194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4A8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09"/>
    <w:rsid w:val="006E60FE"/>
    <w:rsid w:val="006E63FC"/>
    <w:rsid w:val="006E6BE4"/>
    <w:rsid w:val="006E6F18"/>
    <w:rsid w:val="006F104C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C2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3E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5FE9"/>
    <w:rsid w:val="0071609B"/>
    <w:rsid w:val="00717AB0"/>
    <w:rsid w:val="00717C60"/>
    <w:rsid w:val="0072068B"/>
    <w:rsid w:val="0072091B"/>
    <w:rsid w:val="007209C1"/>
    <w:rsid w:val="00720D43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005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072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4F51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D7C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73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6F3D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AB1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2C8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1BF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287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623E"/>
    <w:rsid w:val="00807025"/>
    <w:rsid w:val="008072F2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A99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3E6A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131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6EF2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250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8CA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B32"/>
    <w:rsid w:val="008C1C61"/>
    <w:rsid w:val="008C2512"/>
    <w:rsid w:val="008C253E"/>
    <w:rsid w:val="008C2599"/>
    <w:rsid w:val="008C2ABA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51A"/>
    <w:rsid w:val="008D0703"/>
    <w:rsid w:val="008D0CF8"/>
    <w:rsid w:val="008D0E26"/>
    <w:rsid w:val="008D0F0C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28C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46B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2FA2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47EB2"/>
    <w:rsid w:val="0095036B"/>
    <w:rsid w:val="00950481"/>
    <w:rsid w:val="00950799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0DBB"/>
    <w:rsid w:val="009612C6"/>
    <w:rsid w:val="00961AEB"/>
    <w:rsid w:val="00961CD1"/>
    <w:rsid w:val="00962CD2"/>
    <w:rsid w:val="0096316D"/>
    <w:rsid w:val="00963391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30C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89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7C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4FE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3E77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51A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93A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47E3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2E1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D59"/>
    <w:rsid w:val="00A95787"/>
    <w:rsid w:val="00A95CA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D"/>
    <w:rsid w:val="00AA1ECE"/>
    <w:rsid w:val="00AA2017"/>
    <w:rsid w:val="00AA28FE"/>
    <w:rsid w:val="00AA2AE1"/>
    <w:rsid w:val="00AA2F93"/>
    <w:rsid w:val="00AA2FAA"/>
    <w:rsid w:val="00AA33ED"/>
    <w:rsid w:val="00AA35A5"/>
    <w:rsid w:val="00AA365F"/>
    <w:rsid w:val="00AA43C7"/>
    <w:rsid w:val="00AA4CE5"/>
    <w:rsid w:val="00AA505C"/>
    <w:rsid w:val="00AA51EA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2F2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3EED"/>
    <w:rsid w:val="00AD401B"/>
    <w:rsid w:val="00AD468F"/>
    <w:rsid w:val="00AD488C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AB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05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89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66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3CF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85F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51B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97E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76A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2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8E0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8F3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0851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4DE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662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1FAE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9BB"/>
    <w:rsid w:val="00CA7D9E"/>
    <w:rsid w:val="00CB07FB"/>
    <w:rsid w:val="00CB0D3E"/>
    <w:rsid w:val="00CB15A9"/>
    <w:rsid w:val="00CB1D57"/>
    <w:rsid w:val="00CB2585"/>
    <w:rsid w:val="00CB2A12"/>
    <w:rsid w:val="00CB2BC3"/>
    <w:rsid w:val="00CB3C55"/>
    <w:rsid w:val="00CB3F3F"/>
    <w:rsid w:val="00CB470D"/>
    <w:rsid w:val="00CB4A0F"/>
    <w:rsid w:val="00CB4FA7"/>
    <w:rsid w:val="00CB5456"/>
    <w:rsid w:val="00CB5A48"/>
    <w:rsid w:val="00CB5AB7"/>
    <w:rsid w:val="00CB6455"/>
    <w:rsid w:val="00CB66DA"/>
    <w:rsid w:val="00CB7628"/>
    <w:rsid w:val="00CB7844"/>
    <w:rsid w:val="00CC04BC"/>
    <w:rsid w:val="00CC09CA"/>
    <w:rsid w:val="00CC1069"/>
    <w:rsid w:val="00CC12BB"/>
    <w:rsid w:val="00CC15A3"/>
    <w:rsid w:val="00CC1B2E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03F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5DB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0C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363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0A4D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37859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8F7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055"/>
    <w:rsid w:val="00D6326B"/>
    <w:rsid w:val="00D63369"/>
    <w:rsid w:val="00D63583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24E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852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0DAC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5BB"/>
    <w:rsid w:val="00DE2B08"/>
    <w:rsid w:val="00DE33AC"/>
    <w:rsid w:val="00DE33F7"/>
    <w:rsid w:val="00DE4487"/>
    <w:rsid w:val="00DE47F7"/>
    <w:rsid w:val="00DE4FB6"/>
    <w:rsid w:val="00DE5150"/>
    <w:rsid w:val="00DE55EF"/>
    <w:rsid w:val="00DE59F4"/>
    <w:rsid w:val="00DE5BBA"/>
    <w:rsid w:val="00DE5C03"/>
    <w:rsid w:val="00DE5EA6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9C5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476B"/>
    <w:rsid w:val="00E15573"/>
    <w:rsid w:val="00E1639F"/>
    <w:rsid w:val="00E16A98"/>
    <w:rsid w:val="00E1739C"/>
    <w:rsid w:val="00E1752F"/>
    <w:rsid w:val="00E206DE"/>
    <w:rsid w:val="00E20951"/>
    <w:rsid w:val="00E21196"/>
    <w:rsid w:val="00E21592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087D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0C30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069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8E3"/>
    <w:rsid w:val="00E830C7"/>
    <w:rsid w:val="00E83750"/>
    <w:rsid w:val="00E83758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D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3F9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0F8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F1C"/>
    <w:rsid w:val="00EF10B5"/>
    <w:rsid w:val="00EF1110"/>
    <w:rsid w:val="00EF13C5"/>
    <w:rsid w:val="00EF1759"/>
    <w:rsid w:val="00EF1BE4"/>
    <w:rsid w:val="00EF1C89"/>
    <w:rsid w:val="00EF2596"/>
    <w:rsid w:val="00EF29B6"/>
    <w:rsid w:val="00EF2D7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4B3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18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27DFC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3670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3E6B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36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2EF8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0FAD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424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4B2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F7C12"/>
    <w:rsid w:val="03534727"/>
    <w:rsid w:val="060E13F2"/>
    <w:rsid w:val="062270B6"/>
    <w:rsid w:val="066C1A01"/>
    <w:rsid w:val="088460CD"/>
    <w:rsid w:val="09D77275"/>
    <w:rsid w:val="0DAC3806"/>
    <w:rsid w:val="0DC177B4"/>
    <w:rsid w:val="0E223C28"/>
    <w:rsid w:val="0F8364A5"/>
    <w:rsid w:val="0F9567C8"/>
    <w:rsid w:val="11AE653A"/>
    <w:rsid w:val="12937600"/>
    <w:rsid w:val="13BE7457"/>
    <w:rsid w:val="144155F7"/>
    <w:rsid w:val="154702AC"/>
    <w:rsid w:val="176665A4"/>
    <w:rsid w:val="177E3E97"/>
    <w:rsid w:val="1793545C"/>
    <w:rsid w:val="19594F09"/>
    <w:rsid w:val="199D1C93"/>
    <w:rsid w:val="19CF0A45"/>
    <w:rsid w:val="1AA06D8A"/>
    <w:rsid w:val="1F857028"/>
    <w:rsid w:val="20A21196"/>
    <w:rsid w:val="22A250E3"/>
    <w:rsid w:val="23DF526E"/>
    <w:rsid w:val="24077ADF"/>
    <w:rsid w:val="24BC44E6"/>
    <w:rsid w:val="261514F0"/>
    <w:rsid w:val="263C6C0A"/>
    <w:rsid w:val="26AF6610"/>
    <w:rsid w:val="28BC0A80"/>
    <w:rsid w:val="2CD91A96"/>
    <w:rsid w:val="2D39656F"/>
    <w:rsid w:val="3054789A"/>
    <w:rsid w:val="320E25E9"/>
    <w:rsid w:val="334A578A"/>
    <w:rsid w:val="33535CA0"/>
    <w:rsid w:val="391222E2"/>
    <w:rsid w:val="3BF54630"/>
    <w:rsid w:val="3DDA5032"/>
    <w:rsid w:val="3E073A56"/>
    <w:rsid w:val="3E905C78"/>
    <w:rsid w:val="3EE65CBF"/>
    <w:rsid w:val="43AE7DF9"/>
    <w:rsid w:val="44087194"/>
    <w:rsid w:val="458A047A"/>
    <w:rsid w:val="47700728"/>
    <w:rsid w:val="49A14359"/>
    <w:rsid w:val="4A2B180B"/>
    <w:rsid w:val="4BD61275"/>
    <w:rsid w:val="4BE05B04"/>
    <w:rsid w:val="4D5C5E14"/>
    <w:rsid w:val="4D977D81"/>
    <w:rsid w:val="4F8B0CA6"/>
    <w:rsid w:val="4F9B6A6A"/>
    <w:rsid w:val="4FA05D35"/>
    <w:rsid w:val="501E5DB7"/>
    <w:rsid w:val="523B2100"/>
    <w:rsid w:val="52B65F05"/>
    <w:rsid w:val="52D62B6B"/>
    <w:rsid w:val="533C33C0"/>
    <w:rsid w:val="55304889"/>
    <w:rsid w:val="557150AA"/>
    <w:rsid w:val="56D57B46"/>
    <w:rsid w:val="570C191D"/>
    <w:rsid w:val="57666016"/>
    <w:rsid w:val="5A91371E"/>
    <w:rsid w:val="5BB85765"/>
    <w:rsid w:val="5DAB154C"/>
    <w:rsid w:val="614978F3"/>
    <w:rsid w:val="61663680"/>
    <w:rsid w:val="658A795B"/>
    <w:rsid w:val="66B02E4D"/>
    <w:rsid w:val="66CA4974"/>
    <w:rsid w:val="66CE0BA8"/>
    <w:rsid w:val="67A61BE0"/>
    <w:rsid w:val="681344C1"/>
    <w:rsid w:val="69851B9E"/>
    <w:rsid w:val="6BDA7BEC"/>
    <w:rsid w:val="6BF153CF"/>
    <w:rsid w:val="6CAB4B60"/>
    <w:rsid w:val="6F216B08"/>
    <w:rsid w:val="71B22AAF"/>
    <w:rsid w:val="7364366B"/>
    <w:rsid w:val="74A131D8"/>
    <w:rsid w:val="74B224D4"/>
    <w:rsid w:val="754622EF"/>
    <w:rsid w:val="758053D5"/>
    <w:rsid w:val="75B43573"/>
    <w:rsid w:val="776D005D"/>
    <w:rsid w:val="79C124FE"/>
    <w:rsid w:val="7A561418"/>
    <w:rsid w:val="7A8823B1"/>
    <w:rsid w:val="7E394EC1"/>
    <w:rsid w:val="7EC73CBA"/>
    <w:rsid w:val="7F564839"/>
    <w:rsid w:val="7F692749"/>
    <w:rsid w:val="7F6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0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0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0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0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667</Words>
  <Characters>3804</Characters>
  <Lines>31</Lines>
  <Paragraphs>8</Paragraphs>
  <TotalTime>2</TotalTime>
  <ScaleCrop>false</ScaleCrop>
  <LinksUpToDate>false</LinksUpToDate>
  <CharactersWithSpaces>4463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</cp:lastModifiedBy>
  <dcterms:modified xsi:type="dcterms:W3CDTF">2023-09-26T11:59:53Z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3CCB93EBDFBE4BB98007B2D12AC5B38D</vt:lpwstr>
  </property>
</Properties>
</file>